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eastAsia="Times New Roman" w:cs="Times New Roman"/>
          <w:bCs/>
          <w:color w:val="333333"/>
          <w:szCs w:val="28"/>
          <w:lang w:eastAsia="ru-RU"/>
        </w:rPr>
      </w:pPr>
      <w:bookmarkStart w:id="0" w:name="_Hlk185272387"/>
      <w:r>
        <w:rPr>
          <w:rFonts w:eastAsia="Times New Roman" w:cs="Times New Roman"/>
          <w:bCs/>
          <w:color w:val="333333"/>
          <w:szCs w:val="28"/>
          <w:lang w:eastAsia="ru-RU"/>
        </w:rPr>
        <w:t xml:space="preserve">Усилена административная</w:t>
      </w:r>
      <w:r>
        <w:rPr>
          <w:rFonts w:ascii="Arial" w:hAnsi="Arial" w:eastAsia="Times New Roman" w:cs="Arial"/>
          <w:bCs/>
          <w:color w:val="333333"/>
          <w:sz w:val="36"/>
          <w:szCs w:val="36"/>
          <w:lang w:eastAsia="ru-RU"/>
        </w:rPr>
        <w:t xml:space="preserve"> </w:t>
      </w:r>
      <w:r>
        <w:rPr>
          <w:rFonts w:eastAsia="Times New Roman" w:cs="Times New Roman"/>
          <w:bCs/>
          <w:color w:val="333333"/>
          <w:szCs w:val="28"/>
          <w:lang w:eastAsia="ru-RU"/>
        </w:rPr>
        <w:t xml:space="preserve">ответственность водителей за управление </w:t>
      </w:r>
      <w:bookmarkStart w:id="1" w:name="_Hlk185272402"/>
      <w:bookmarkEnd w:id="0"/>
      <w:r>
        <w:rPr>
          <w:rFonts w:eastAsia="Times New Roman" w:cs="Times New Roman"/>
          <w:bCs/>
          <w:color w:val="333333"/>
          <w:szCs w:val="28"/>
          <w:lang w:eastAsia="ru-RU"/>
        </w:rPr>
        <w:t xml:space="preserve">транспортным</w:t>
      </w: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333333"/>
          <w:szCs w:val="28"/>
          <w:lang w:eastAsia="ru-RU"/>
        </w:rPr>
        <w:t xml:space="preserve">средством с видоизмененными или скрытыми </w:t>
      </w:r>
      <w:bookmarkStart w:id="2" w:name="_Hlk185272425"/>
      <w:bookmarkStart w:id="3" w:name="_GoBack"/>
      <w:bookmarkEnd w:id="1"/>
      <w:r>
        <w:rPr>
          <w:rFonts w:eastAsia="Times New Roman" w:cs="Times New Roman"/>
          <w:bCs/>
          <w:color w:val="333333"/>
          <w:szCs w:val="28"/>
          <w:lang w:eastAsia="ru-RU"/>
        </w:rPr>
        <w:t xml:space="preserve">государственными регистрационными знаками</w:t>
      </w:r>
      <w:bookmarkEnd w:id="2"/>
      <w:bookmarkEnd w:id="3"/>
    </w:p>
    <w:p>
      <w:pPr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</w:t>
      </w:r>
    </w:p>
    <w:p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Федеральным законом от 14.10.2024 № 342-ФЗ внесены изменения в статью 12.2 Кодекса Российской Федерации об административных правонарушениях, согласно которым данная статья дополнена новыми частями. </w:t>
      </w:r>
    </w:p>
    <w:p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Так, управление транспортным средством с государственными регистрационными знаками, оборудованными с применением устройств, препятствующих идентификации государственных регистрационных знаков либо позволяющих их видоизменить или скрыть влечет лишение права управления транспортными средствами на срок от 1 года до 1,5 лет с конфискацией указанных устройств. </w:t>
      </w:r>
    </w:p>
    <w:p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Также установлена административная ответственность за повторное совершение правонарушения, предусмотренного ч. 2 ст. 12.2 КоАП (влечет лишение права управления транспортными средствами на срок от 1 года до 1,5 лет). </w:t>
      </w:r>
    </w:p>
    <w:p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Ранее указанная статья КоАП РФ предусматривала наказание за управление транспортным средством с государственными регистрационными знаками, оборудованными с применением устройств, препятствующих их идентификации в виде штрафа в размере 5 тысяч рублей или лишения прав на срок от 1 до 3 месяцев.</w:t>
      </w:r>
    </w:p>
    <w:p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1049</Characters>
  <CharactersWithSpaces>1231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</Template>
  <TotalTime>2</TotalTime>
  <Words>184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2024-12-13T11:28:00Z</dcterms:created>
  <dcterms:modified xsi:type="dcterms:W3CDTF">2024-12-16T17:13:00Z</dcterms:modified>
</cp:coreProperties>
</file>